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MICHAEL CHARY</w:t>
      </w:r>
    </w:p>
    <w:p w:rsidR="00000000" w:rsidDel="00000000" w:rsidP="00000000" w:rsidRDefault="00000000" w:rsidRPr="00000000" w14:paraId="00000002">
      <w:pPr>
        <w:pStyle w:val="Subtitle"/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GROWTH, LIFECYCLE &amp; CRM LEADER</w:t>
      </w:r>
    </w:p>
    <w:p w:rsidR="00000000" w:rsidDel="00000000" w:rsidP="00000000" w:rsidRDefault="00000000" w:rsidRPr="00000000" w14:paraId="00000003">
      <w:pPr>
        <w:spacing w:after="12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Denver, CO  |  </w:t>
      </w:r>
      <w:hyperlink r:id="rId6">
        <w:r w:rsidDel="00000000" w:rsidR="00000000" w:rsidRPr="00000000">
          <w:rPr>
            <w:color w:val="0563c1"/>
            <w:sz w:val="20"/>
            <w:szCs w:val="20"/>
            <w:u w:val="single"/>
            <w:rtl w:val="0"/>
          </w:rPr>
          <w:t xml:space="preserve">michael.chary@gmail.com</w:t>
        </w:r>
      </w:hyperlink>
      <w:r w:rsidDel="00000000" w:rsidR="00000000" w:rsidRPr="00000000">
        <w:rPr>
          <w:sz w:val="20"/>
          <w:szCs w:val="20"/>
          <w:rtl w:val="0"/>
        </w:rPr>
        <w:t xml:space="preserve">  |  +1 (518) 637-5459</w:t>
        <w:br w:type="textWrapping"/>
        <w:t xml:space="preserve">Portfolio: </w:t>
      </w:r>
      <w:hyperlink r:id="rId7">
        <w:r w:rsidDel="00000000" w:rsidR="00000000" w:rsidRPr="00000000">
          <w:rPr>
            <w:color w:val="0563c1"/>
            <w:sz w:val="20"/>
            <w:szCs w:val="20"/>
            <w:u w:val="single"/>
            <w:rtl w:val="0"/>
          </w:rPr>
          <w:t xml:space="preserve">mikechary.com</w:t>
        </w:r>
      </w:hyperlink>
      <w:r w:rsidDel="00000000" w:rsidR="00000000" w:rsidRPr="00000000">
        <w:rPr>
          <w:sz w:val="20"/>
          <w:szCs w:val="20"/>
          <w:rtl w:val="0"/>
        </w:rPr>
        <w:t xml:space="preserve">  |  </w:t>
      </w:r>
      <w:hyperlink r:id="rId8">
        <w:r w:rsidDel="00000000" w:rsidR="00000000" w:rsidRPr="00000000">
          <w:rPr>
            <w:color w:val="0563c1"/>
            <w:sz w:val="20"/>
            <w:szCs w:val="20"/>
            <w:u w:val="single"/>
            <w:rtl w:val="0"/>
          </w:rPr>
          <w:t xml:space="preserve">linkedin.com/in/michael-chary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pBdr>
          <w:bottom w:color="808080" w:space="4" w:sz="6" w:val="single"/>
        </w:pBdr>
        <w:spacing w:after="80" w:before="140" w:lin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br w:type="textWrapping"/>
        <w:t xml:space="preserve">Executive Summary</w:t>
      </w:r>
    </w:p>
    <w:p w:rsidR="00000000" w:rsidDel="00000000" w:rsidP="00000000" w:rsidRDefault="00000000" w:rsidRPr="00000000" w14:paraId="00000005">
      <w:pPr>
        <w:keepLines w:val="1"/>
        <w:spacing w:after="240" w:before="240" w:lineRule="auto"/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Growth, lifecycle and CRM leader with 10 years of experience building organic acquisition, retention and sales funnels for a global streaming platform serving nearly a million members and managing a 10M+ CRM list, reporting directly to the CMO. Led an enterprise migration from SAP Emarsys to Braze that lifted member re-engagement by 38%, increased winback conversion from 5% to 20%, and delivered a record email-attributed acquisition year that grew new subscriptions by +18% YoY. Building behaviorally triggered journeys and agentic, AI-enabled personalization, partnering cross-functionally with Product, Engineering, Creative, and BI to turn retention strategy into measurable revenue impact.</w:t>
      </w:r>
    </w:p>
    <w:p w:rsidR="00000000" w:rsidDel="00000000" w:rsidP="00000000" w:rsidRDefault="00000000" w:rsidRPr="00000000" w14:paraId="00000006">
      <w:pPr>
        <w:pStyle w:val="Heading1"/>
        <w:pBdr>
          <w:bottom w:color="808080" w:space="4" w:sz="6" w:val="single"/>
        </w:pBdr>
        <w:spacing w:after="80" w:before="140" w:lin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br w:type="textWrapping"/>
        <w:t xml:space="preserve">Core Expertise</w:t>
      </w:r>
    </w:p>
    <w:p w:rsidR="00000000" w:rsidDel="00000000" w:rsidP="00000000" w:rsidRDefault="00000000" w:rsidRPr="00000000" w14:paraId="00000007">
      <w:pPr>
        <w:keepLines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Lifecycle &amp; Retention | CRM | Organic Growth | Churn Reduction &amp; Winback | Customer Journey Orchestration | Behavioral Personalization | CRO | Agentic Workflows | AI-Enabled Marketing Ops | </w:t>
      </w:r>
      <w:r w:rsidDel="00000000" w:rsidR="00000000" w:rsidRPr="00000000">
        <w:rPr>
          <w:sz w:val="23"/>
          <w:szCs w:val="23"/>
          <w:rtl w:val="0"/>
        </w:rPr>
        <w:t xml:space="preserve">Team Leadership &amp; Coaching | Cross-Functional Alignment | Project Management | Analytics &amp; Data-Driven Strategy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pBdr>
          <w:bottom w:color="808080" w:space="4" w:sz="6" w:val="single"/>
        </w:pBdr>
        <w:spacing w:after="80" w:before="140" w:lin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br w:type="textWrapping"/>
        <w:t xml:space="preserve">Professional Experience</w:t>
      </w:r>
    </w:p>
    <w:p w:rsidR="00000000" w:rsidDel="00000000" w:rsidP="00000000" w:rsidRDefault="00000000" w:rsidRPr="00000000" w14:paraId="00000009">
      <w:pPr>
        <w:pStyle w:val="Heading2"/>
        <w:spacing w:after="20" w:before="60" w:lineRule="auto"/>
        <w:rPr>
          <w:sz w:val="30"/>
          <w:szCs w:val="30"/>
        </w:rPr>
      </w:pPr>
      <w:r w:rsidDel="00000000" w:rsidR="00000000" w:rsidRPr="00000000">
        <w:rPr>
          <w:sz w:val="28"/>
          <w:szCs w:val="28"/>
          <w:rtl w:val="0"/>
        </w:rPr>
        <w:t xml:space="preserve">GAIA INC.</w:t>
      </w:r>
      <w:r w:rsidDel="00000000" w:rsidR="00000000" w:rsidRPr="00000000">
        <w:rPr>
          <w:b w:val="0"/>
          <w:bCs w:val="0"/>
          <w:i w:val="1"/>
          <w:iCs w:val="1"/>
          <w:color w:val="595959"/>
          <w:sz w:val="25"/>
          <w:szCs w:val="25"/>
          <w:rtl w:val="0"/>
        </w:rPr>
        <w:t xml:space="preserve"> </w:t>
        <w:tab/>
        <w:tab/>
        <w:tab/>
        <w:tab/>
        <w:tab/>
        <w:tab/>
        <w:tab/>
        <w:tab/>
        <w:tab/>
        <w:tab/>
        <w:tab/>
        <w:t xml:space="preserve">       </w:t>
      </w:r>
      <w:r w:rsidDel="00000000" w:rsidR="00000000" w:rsidRPr="00000000">
        <w:rPr>
          <w:b w:val="0"/>
          <w:bCs w:val="0"/>
          <w:i w:val="1"/>
          <w:iCs w:val="1"/>
          <w:sz w:val="26"/>
          <w:szCs w:val="26"/>
          <w:rtl w:val="0"/>
        </w:rPr>
        <w:t xml:space="preserve">Louisville, 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tabs>
          <w:tab w:val="right" w:leader="none" w:pos="10296"/>
        </w:tabs>
        <w:spacing w:after="40" w:before="20" w:lineRule="auto"/>
        <w:rPr>
          <w:sz w:val="24"/>
          <w:szCs w:val="24"/>
        </w:rPr>
      </w:pPr>
      <w:r w:rsidDel="00000000" w:rsidR="00000000" w:rsidRPr="00000000">
        <w:rPr>
          <w:sz w:val="26"/>
          <w:szCs w:val="26"/>
          <w:rtl w:val="0"/>
        </w:rPr>
        <w:t xml:space="preserve">Head of Email &amp; Organic Growth (Lifecycle &amp; CRM)</w:t>
      </w:r>
      <w:r w:rsidDel="00000000" w:rsidR="00000000" w:rsidRPr="00000000">
        <w:rPr>
          <w:b w:val="0"/>
          <w:bCs w:val="0"/>
          <w:i w:val="1"/>
          <w:iCs w:val="1"/>
          <w:color w:val="2e3d50"/>
          <w:sz w:val="24"/>
          <w:szCs w:val="24"/>
          <w:rtl w:val="0"/>
        </w:rPr>
        <w:tab/>
        <w:t xml:space="preserve">    </w:t>
      </w:r>
      <w:r w:rsidDel="00000000" w:rsidR="00000000" w:rsidRPr="00000000">
        <w:rPr>
          <w:b w:val="0"/>
          <w:bCs w:val="0"/>
          <w:i w:val="1"/>
          <w:iCs w:val="1"/>
          <w:color w:val="2e3d50"/>
          <w:sz w:val="22"/>
          <w:szCs w:val="22"/>
          <w:rtl w:val="0"/>
        </w:rPr>
        <w:t xml:space="preserve">2019-Present</w:t>
      </w:r>
      <w:r w:rsidDel="00000000" w:rsidR="00000000" w:rsidRPr="00000000">
        <w:rPr>
          <w:color w:val="595959"/>
          <w:sz w:val="23"/>
          <w:szCs w:val="23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spacing w:after="44" w:line="250" w:lineRule="auto"/>
        <w:ind w:left="302" w:hanging="23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Led an enterprise migration from SAP Emarsys to Braze </w:t>
      </w:r>
      <w:r w:rsidDel="00000000" w:rsidR="00000000" w:rsidRPr="00000000">
        <w:rPr>
          <w:sz w:val="24"/>
          <w:szCs w:val="24"/>
          <w:rtl w:val="0"/>
        </w:rPr>
        <w:t xml:space="preserve">across customer data, API/SDK integrations, transactional, push, in-app messaging, Shopify, IP warming and deliverability, establishing a modern lifecycle foundation lifting member re-engagement by +38%.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spacing w:after="44" w:line="250" w:lineRule="auto"/>
        <w:ind w:left="302" w:hanging="23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Built a segmented churn-recovery engine </w:t>
      </w:r>
      <w:r w:rsidDel="00000000" w:rsidR="00000000" w:rsidRPr="00000000">
        <w:rPr>
          <w:sz w:val="24"/>
          <w:szCs w:val="24"/>
          <w:rtl w:val="0"/>
        </w:rPr>
        <w:t xml:space="preserve">spanning winback offers, annual-churn interventions, and lapsed-member saves, increasing winback conversion from 5% to 20% to generate +2,000 incremental reactivations per month.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spacing w:after="44" w:line="250" w:lineRule="auto"/>
        <w:ind w:left="302" w:hanging="23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Delivered the strongest email-acquisition year in company history, </w:t>
      </w:r>
      <w:r w:rsidDel="00000000" w:rsidR="00000000" w:rsidRPr="00000000">
        <w:rPr>
          <w:sz w:val="24"/>
          <w:szCs w:val="24"/>
          <w:rtl w:val="0"/>
        </w:rPr>
        <w:t xml:space="preserve">increasing email-attributed sign-ups +18% YoY to 51K+ and direct annual subscriptions +110%, establishing a recurring acquisition program built on reusable templates, evergreen funnels, segmentation and consistent A/B &amp; multivariate testing.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spacing w:after="44" w:line="250" w:lineRule="auto"/>
        <w:ind w:left="302" w:hanging="23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Build and lead an operational conversion-optimization discipline, </w:t>
      </w:r>
      <w:r w:rsidDel="00000000" w:rsidR="00000000" w:rsidRPr="00000000">
        <w:rPr>
          <w:sz w:val="24"/>
          <w:szCs w:val="24"/>
          <w:rtl w:val="0"/>
        </w:rPr>
        <w:t xml:space="preserve">combining multivariate testing, funnel optimization and segmentation logic to deliver +12% incremental conversion gains in member acquisition and a +23% lift in lead generation.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spacing w:after="44" w:line="250" w:lineRule="auto"/>
        <w:ind w:left="302" w:hanging="23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Protecting lifecycle performance and deliverability at enterprise scale</w:t>
      </w:r>
      <w:r w:rsidDel="00000000" w:rsidR="00000000" w:rsidRPr="00000000">
        <w:rPr>
          <w:sz w:val="24"/>
          <w:szCs w:val="24"/>
          <w:rtl w:val="0"/>
        </w:rPr>
        <w:t xml:space="preserve">,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including</w:t>
      </w:r>
      <w:r w:rsidDel="00000000" w:rsidR="00000000" w:rsidRPr="00000000">
        <w:rPr>
          <w:sz w:val="24"/>
          <w:szCs w:val="24"/>
          <w:rtl w:val="0"/>
        </w:rPr>
        <w:t xml:space="preserve"> remediation of 6.5M historical contacts expunged from CRM, negotiating a data-hygiene solution to avoid spam traps and deliverability pitfalls, resulting in +3,500 member adds to surpass yearly growth targets.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spacing w:after="44" w:line="250" w:lineRule="auto"/>
        <w:ind w:left="302" w:hanging="23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Building custom AI workflows to scale output and workflow efficiency</w:t>
      </w:r>
      <w:r w:rsidDel="00000000" w:rsidR="00000000" w:rsidRPr="00000000">
        <w:rPr>
          <w:sz w:val="24"/>
          <w:szCs w:val="24"/>
          <w:rtl w:val="0"/>
        </w:rPr>
        <w:t xml:space="preserve">,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including a custom video-scripting tool that saves six hours per video asset,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increasing paid media creative output +25% and organic output +40%, producing our highest-converting ad for +30 days before it fatigued.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spacing w:after="44" w:line="250" w:lineRule="auto"/>
        <w:ind w:left="302" w:hanging="23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Directing four in-house marketers, coordinating creative studio and two external agencies, </w:t>
      </w:r>
      <w:r w:rsidDel="00000000" w:rsidR="00000000" w:rsidRPr="00000000">
        <w:rPr>
          <w:sz w:val="24"/>
          <w:szCs w:val="24"/>
          <w:rtl w:val="0"/>
        </w:rPr>
        <w:t xml:space="preserve">to drive growth OKRs and align execution across Product, Engineering, BI and executive stakeholders.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spacing w:after="44" w:line="250" w:lineRule="auto"/>
        <w:ind w:left="302" w:hanging="23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Expanding lifecycle monetization beyond subscriptions, </w:t>
      </w:r>
      <w:r w:rsidDel="00000000" w:rsidR="00000000" w:rsidRPr="00000000">
        <w:rPr>
          <w:sz w:val="24"/>
          <w:szCs w:val="24"/>
          <w:rtl w:val="0"/>
        </w:rPr>
        <w:t xml:space="preserve">integrating Shopify, cart-abandonment and transactional journeys with major product, course, tour and event launches; generated +$300K in net sales through a concentrated organic funnel, with no paid media support.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spacing w:after="44" w:line="250" w:lineRule="auto"/>
        <w:ind w:left="302" w:hanging="23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Architected 0-90-day member lifecycle and behavioral-personalization framework, </w:t>
      </w:r>
      <w:r w:rsidDel="00000000" w:rsidR="00000000" w:rsidRPr="00000000">
        <w:rPr>
          <w:sz w:val="24"/>
          <w:szCs w:val="24"/>
          <w:rtl w:val="0"/>
        </w:rPr>
        <w:t xml:space="preserve">connecting onboarding, content discovery, re-engagement and churn-risk interventions while integrating AI recommendation data with Braze for behavioral personalization at scale.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spacing w:after="44" w:line="250" w:lineRule="auto"/>
        <w:ind w:left="302" w:hanging="230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Scaling acquisition and automation internationally, </w:t>
      </w:r>
      <w:r w:rsidDel="00000000" w:rsidR="00000000" w:rsidRPr="00000000">
        <w:rPr>
          <w:sz w:val="24"/>
          <w:szCs w:val="24"/>
          <w:rtl w:val="0"/>
        </w:rPr>
        <w:t xml:space="preserve">launching 12 multilingual funnels to adapt Spanish, French, and German-market growth in partnership with International teams.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pBdr>
          <w:bottom w:color="808080" w:space="4" w:sz="6" w:val="single"/>
        </w:pBdr>
        <w:spacing w:after="80" w:before="140" w:lin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br w:type="textWrapping"/>
        <w:t xml:space="preserve">Additional Experience</w:t>
      </w:r>
    </w:p>
    <w:p w:rsidR="00000000" w:rsidDel="00000000" w:rsidP="00000000" w:rsidRDefault="00000000" w:rsidRPr="00000000" w14:paraId="00000016">
      <w:pPr>
        <w:keepLines w:val="1"/>
        <w:spacing w:after="3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Marketing Content Specialist - Gaia Inc. </w:t>
      </w:r>
      <w:r w:rsidDel="00000000" w:rsidR="00000000" w:rsidRPr="00000000">
        <w:rPr>
          <w:b w:val="1"/>
          <w:bCs w:val="1"/>
          <w:i w:val="1"/>
          <w:iCs w:val="1"/>
          <w:sz w:val="23"/>
          <w:szCs w:val="23"/>
          <w:rtl w:val="0"/>
        </w:rPr>
        <w:t xml:space="preserve">(2017-2019)</w:t>
      </w:r>
      <w:r w:rsidDel="00000000" w:rsidR="00000000" w:rsidRPr="00000000">
        <w:rPr>
          <w:sz w:val="23"/>
          <w:szCs w:val="23"/>
          <w:rtl w:val="0"/>
        </w:rPr>
        <w:t xml:space="preserve"> - Built editorial content strategy and led a contracted writing team, driving SEO gains and lead generation that laid the foundation for Gaia's organic acquisition engine.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Lines w:val="1"/>
        <w:spacing w:after="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br w:type="textWrapping"/>
        <w:t xml:space="preserve">Content Marketing Writer - Marquee Magazine, Rooster Magazine </w:t>
      </w:r>
      <w:r w:rsidDel="00000000" w:rsidR="00000000" w:rsidRPr="00000000">
        <w:rPr>
          <w:b w:val="1"/>
          <w:bCs w:val="1"/>
          <w:i w:val="1"/>
          <w:iCs w:val="1"/>
          <w:sz w:val="23"/>
          <w:szCs w:val="23"/>
          <w:rtl w:val="0"/>
        </w:rPr>
        <w:t xml:space="preserve">(2014-2017)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 </w:t>
      </w:r>
      <w:r w:rsidDel="00000000" w:rsidR="00000000" w:rsidRPr="00000000">
        <w:rPr>
          <w:sz w:val="23"/>
          <w:szCs w:val="23"/>
          <w:rtl w:val="0"/>
        </w:rPr>
        <w:t xml:space="preserve">- Produced editorial features, artist interviews, and social media for Boulder music &amp; entertainment publications, building foundational storytelling and content skills.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pBdr>
          <w:bottom w:color="808080" w:space="4" w:sz="6" w:val="single"/>
        </w:pBdr>
        <w:spacing w:after="80" w:before="140" w:lin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br w:type="textWrapping"/>
        <w:t xml:space="preserve">Technology &amp; MarTech</w:t>
      </w:r>
    </w:p>
    <w:p w:rsidR="00000000" w:rsidDel="00000000" w:rsidP="00000000" w:rsidRDefault="00000000" w:rsidRPr="00000000" w14:paraId="00000019">
      <w:pPr>
        <w:keepLines w:val="1"/>
        <w:spacing w:after="4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Braze | SAP Emarsys | Iterable | Klaviyo |  Recombee | Shopify | AtData | Google Analytics | BigQuery | Domo | Cursor | Gemini | ChatGPT | Claude | ManyChat | Google Postmaster &amp; Microsoft SNDS | GDPR, CAN-SPAM &amp; CCPA | Airtable | Atlassian | Adobe | Figma | Meta Business Suite | Sprout Social | SEMRush | Moz | Ahrefs</w:t>
      </w:r>
    </w:p>
    <w:p w:rsidR="00000000" w:rsidDel="00000000" w:rsidP="00000000" w:rsidRDefault="00000000" w:rsidRPr="00000000" w14:paraId="0000001A">
      <w:pPr>
        <w:pStyle w:val="Heading1"/>
        <w:pBdr>
          <w:bottom w:color="808080" w:space="4" w:sz="6" w:val="single"/>
        </w:pBdr>
        <w:spacing w:after="80" w:before="140" w:line="24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br w:type="textWrapping"/>
        <w:t xml:space="preserve">Education</w:t>
      </w:r>
    </w:p>
    <w:p w:rsidR="00000000" w:rsidDel="00000000" w:rsidP="00000000" w:rsidRDefault="00000000" w:rsidRPr="00000000" w14:paraId="0000001B">
      <w:pPr>
        <w:keepNext w:val="1"/>
        <w:keepLines w:val="1"/>
        <w:tabs>
          <w:tab w:val="right" w:leader="none" w:pos="10296"/>
        </w:tabs>
        <w:spacing w:after="0" w:before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2e3d50"/>
          <w:sz w:val="25"/>
          <w:szCs w:val="25"/>
          <w:rtl w:val="0"/>
        </w:rPr>
        <w:t xml:space="preserve">UNIVERSITY OF COLORADO BOULDER </w:t>
      </w:r>
      <w:r w:rsidDel="00000000" w:rsidR="00000000" w:rsidRPr="00000000">
        <w:rPr>
          <w:i w:val="1"/>
          <w:iCs w:val="1"/>
          <w:color w:val="2e3d50"/>
          <w:sz w:val="23"/>
          <w:szCs w:val="23"/>
          <w:rtl w:val="0"/>
        </w:rPr>
        <w:tab/>
        <w:t xml:space="preserve">Boulder, CO</w:t>
        <w:br w:type="textWrapping"/>
        <w:t xml:space="preserve">College of Communication, Media, Design and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Lines w:val="1"/>
        <w:spacing w:after="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Bachelor's Degree in Journalism &amp; Mass Communication; Political Science | 3.8 GPA</w:t>
      </w:r>
    </w:p>
    <w:p w:rsidR="00000000" w:rsidDel="00000000" w:rsidP="00000000" w:rsidRDefault="00000000" w:rsidRPr="00000000" w14:paraId="0000001D">
      <w:pPr>
        <w:keepNext w:val="1"/>
        <w:keepLines w:val="1"/>
        <w:tabs>
          <w:tab w:val="right" w:leader="none" w:pos="10296"/>
        </w:tabs>
        <w:spacing w:after="0" w:before="40" w:lineRule="auto"/>
        <w:rPr>
          <w:i w:val="1"/>
          <w:iCs w:val="1"/>
          <w:color w:val="2e3d50"/>
          <w:sz w:val="23"/>
          <w:szCs w:val="23"/>
        </w:rPr>
      </w:pPr>
      <w:r w:rsidDel="00000000" w:rsidR="00000000" w:rsidRPr="00000000">
        <w:rPr>
          <w:b w:val="1"/>
          <w:bCs w:val="1"/>
          <w:color w:val="2e3d50"/>
          <w:sz w:val="25"/>
          <w:szCs w:val="25"/>
          <w:rtl w:val="0"/>
        </w:rPr>
        <w:br w:type="textWrapping"/>
        <w:t xml:space="preserve">ST. JOHN'S UNIVERSITY</w:t>
      </w:r>
      <w:r w:rsidDel="00000000" w:rsidR="00000000" w:rsidRPr="00000000">
        <w:rPr>
          <w:i w:val="1"/>
          <w:iCs w:val="1"/>
          <w:color w:val="2e3d50"/>
          <w:sz w:val="23"/>
          <w:szCs w:val="23"/>
          <w:rtl w:val="0"/>
        </w:rPr>
        <w:tab/>
        <w:t xml:space="preserve">Queens, NY</w:t>
      </w:r>
    </w:p>
    <w:p w:rsidR="00000000" w:rsidDel="00000000" w:rsidP="00000000" w:rsidRDefault="00000000" w:rsidRPr="00000000" w14:paraId="0000001E">
      <w:pPr>
        <w:keepNext w:val="1"/>
        <w:keepLines w:val="1"/>
        <w:tabs>
          <w:tab w:val="right" w:leader="none" w:pos="10296"/>
        </w:tabs>
        <w:spacing w:after="0" w:before="40" w:lineRule="auto"/>
        <w:rPr>
          <w:i w:val="1"/>
          <w:iCs w:val="1"/>
          <w:color w:val="2e3d50"/>
          <w:sz w:val="22"/>
          <w:szCs w:val="22"/>
        </w:rPr>
      </w:pPr>
      <w:r w:rsidDel="00000000" w:rsidR="00000000" w:rsidRPr="00000000">
        <w:rPr>
          <w:i w:val="1"/>
          <w:iCs w:val="1"/>
          <w:color w:val="2e3d50"/>
          <w:sz w:val="23"/>
          <w:szCs w:val="23"/>
          <w:rtl w:val="0"/>
        </w:rPr>
        <w:t xml:space="preserve">Peter J. Tobin College of Business </w:t>
      </w:r>
      <w:r w:rsidDel="00000000" w:rsidR="00000000" w:rsidRPr="00000000">
        <w:rPr>
          <w:i w:val="1"/>
          <w:iCs w:val="1"/>
          <w:color w:val="2e3d50"/>
          <w:sz w:val="22"/>
          <w:szCs w:val="22"/>
          <w:rtl w:val="0"/>
        </w:rPr>
        <w:t xml:space="preserve">(Transferred)</w:t>
      </w:r>
    </w:p>
    <w:p w:rsidR="00000000" w:rsidDel="00000000" w:rsidP="00000000" w:rsidRDefault="00000000" w:rsidRPr="00000000" w14:paraId="0000001F">
      <w:pPr>
        <w:keepLines w:val="1"/>
        <w:spacing w:after="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Coursework in Business and Finance | Academic Excellence Scholarship </w:t>
      </w:r>
    </w:p>
    <w:p w:rsidR="00000000" w:rsidDel="00000000" w:rsidP="00000000" w:rsidRDefault="00000000" w:rsidRPr="00000000" w14:paraId="00000020">
      <w:pPr>
        <w:keepLines w:val="1"/>
        <w:spacing w:after="40" w:before="0" w:line="257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49" w:top="749" w:left="864" w:right="864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18"/>
        <w:szCs w:val="18"/>
        <w:lang w:val="en"/>
      </w:rPr>
    </w:rPrDefault>
    <w:pPrDefault>
      <w:pPr>
        <w:spacing w:after="60" w:line="257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rFonts w:ascii="Calibri" w:cs="Calibri" w:eastAsia="Calibri" w:hAnsi="Calibri"/>
      <w:b w:val="0"/>
      <w:bCs w:val="0"/>
      <w:color w:val="0563c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b w:val="1"/>
      <w:bCs w:val="1"/>
      <w:color w:val="2e3d50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rFonts w:ascii="Calibri" w:cs="Calibri" w:eastAsia="Calibri" w:hAnsi="Calibri"/>
      <w:b w:val="1"/>
      <w:bCs w:val="1"/>
      <w:color w:val="0563c1"/>
      <w:sz w:val="20"/>
      <w:szCs w:val="20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20" w:before="480" w:line="240" w:lineRule="auto"/>
      <w:jc w:val="center"/>
    </w:pPr>
    <w:rPr>
      <w:rFonts w:ascii="Calibri" w:cs="Calibri" w:eastAsia="Calibri" w:hAnsi="Calibri"/>
      <w:b w:val="1"/>
      <w:bCs w:val="1"/>
      <w:color w:val="0563c1"/>
      <w:sz w:val="40"/>
      <w:szCs w:val="40"/>
    </w:rPr>
  </w:style>
  <w:style w:type="paragraph" w:styleId="Subtitle">
    <w:name w:val="Subtitle"/>
    <w:basedOn w:val="Normal"/>
    <w:next w:val="Normal"/>
    <w:pPr>
      <w:keepNext w:val="1"/>
      <w:keepLines w:val="1"/>
      <w:spacing w:after="40" w:before="360" w:lineRule="auto"/>
      <w:jc w:val="center"/>
    </w:pPr>
    <w:rPr>
      <w:rFonts w:ascii="Calibri" w:cs="Calibri" w:eastAsia="Calibri" w:hAnsi="Calibri"/>
      <w:b w:val="1"/>
      <w:bCs w:val="1"/>
      <w:i w:val="1"/>
      <w:iCs w:val="1"/>
      <w:color w:val="2e3d50"/>
      <w:sz w:val="21"/>
      <w:szCs w:val="2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michael.chary@gmail.com" TargetMode="External"/><Relationship Id="rId7" Type="http://schemas.openxmlformats.org/officeDocument/2006/relationships/hyperlink" Target="https://mikechary.com" TargetMode="External"/><Relationship Id="rId8" Type="http://schemas.openxmlformats.org/officeDocument/2006/relationships/hyperlink" Target="https://www.linkedin.com/in/michael-chary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